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3A2" w:rsidRPr="003932D2" w:rsidRDefault="008043A2" w:rsidP="008043A2">
      <w:pPr>
        <w:pStyle w:val="Overskrift1"/>
        <w:numPr>
          <w:ilvl w:val="0"/>
          <w:numId w:val="0"/>
        </w:numPr>
        <w:ind w:right="668"/>
        <w:jc w:val="center"/>
        <w:rPr>
          <w:lang w:val="da-DK"/>
        </w:rPr>
      </w:pPr>
      <w:r w:rsidRPr="00D20196">
        <w:rPr>
          <w:spacing w:val="-3"/>
          <w:lang w:val="da-DK"/>
        </w:rPr>
        <w:t>I</w:t>
      </w:r>
      <w:r w:rsidRPr="00D20196">
        <w:rPr>
          <w:spacing w:val="2"/>
          <w:lang w:val="da-DK"/>
        </w:rPr>
        <w:t>d</w:t>
      </w:r>
      <w:r w:rsidRPr="00D20196">
        <w:rPr>
          <w:spacing w:val="-1"/>
          <w:lang w:val="da-DK"/>
        </w:rPr>
        <w:t>e</w:t>
      </w:r>
      <w:r w:rsidRPr="00D20196">
        <w:rPr>
          <w:lang w:val="da-DK"/>
        </w:rPr>
        <w:t>opl</w:t>
      </w:r>
      <w:r w:rsidRPr="00D20196">
        <w:rPr>
          <w:spacing w:val="1"/>
          <w:lang w:val="da-DK"/>
        </w:rPr>
        <w:t>æ</w:t>
      </w:r>
      <w:r w:rsidRPr="00D20196">
        <w:rPr>
          <w:lang w:val="da-DK"/>
        </w:rPr>
        <w:t>g</w:t>
      </w:r>
      <w:r w:rsidRPr="00D20196">
        <w:rPr>
          <w:spacing w:val="-2"/>
          <w:lang w:val="da-DK"/>
        </w:rPr>
        <w:t xml:space="preserve"> </w:t>
      </w:r>
      <w:r w:rsidRPr="00D20196">
        <w:rPr>
          <w:lang w:val="da-DK"/>
        </w:rPr>
        <w:t>t</w:t>
      </w:r>
      <w:r w:rsidRPr="00D20196">
        <w:rPr>
          <w:spacing w:val="1"/>
          <w:lang w:val="da-DK"/>
        </w:rPr>
        <w:t>i</w:t>
      </w:r>
      <w:r w:rsidRPr="00D20196">
        <w:rPr>
          <w:lang w:val="da-DK"/>
        </w:rPr>
        <w:t>l</w:t>
      </w:r>
      <w:r>
        <w:rPr>
          <w:lang w:val="da-DK"/>
        </w:rPr>
        <w:t xml:space="preserve"> risikovurdering </w:t>
      </w:r>
      <w:r w:rsidRPr="00D20196">
        <w:rPr>
          <w:lang w:val="da-DK"/>
        </w:rPr>
        <w:t>for</w:t>
      </w:r>
      <w:r>
        <w:rPr>
          <w:spacing w:val="-1"/>
          <w:lang w:val="da-DK"/>
        </w:rPr>
        <w:t xml:space="preserve"> </w:t>
      </w:r>
      <w:r w:rsidRPr="001F1F87">
        <w:rPr>
          <w:highlight w:val="yellow"/>
          <w:lang w:val="da-DK"/>
        </w:rPr>
        <w:t>Advok</w:t>
      </w:r>
      <w:r w:rsidRPr="001F1F87">
        <w:rPr>
          <w:spacing w:val="-1"/>
          <w:highlight w:val="yellow"/>
          <w:lang w:val="da-DK"/>
        </w:rPr>
        <w:t>a</w:t>
      </w:r>
      <w:r w:rsidRPr="001F1F87">
        <w:rPr>
          <w:highlight w:val="yellow"/>
          <w:lang w:val="da-DK"/>
        </w:rPr>
        <w:t>tfir</w:t>
      </w:r>
      <w:r w:rsidRPr="001F1F87">
        <w:rPr>
          <w:spacing w:val="2"/>
          <w:highlight w:val="yellow"/>
          <w:lang w:val="da-DK"/>
        </w:rPr>
        <w:t>m</w:t>
      </w:r>
      <w:r w:rsidRPr="001F1F87">
        <w:rPr>
          <w:spacing w:val="-1"/>
          <w:highlight w:val="yellow"/>
          <w:lang w:val="da-DK"/>
        </w:rPr>
        <w:t>ae</w:t>
      </w:r>
      <w:r w:rsidRPr="001F1F87">
        <w:rPr>
          <w:highlight w:val="yellow"/>
          <w:lang w:val="da-DK"/>
        </w:rPr>
        <w:t>t XX</w:t>
      </w:r>
    </w:p>
    <w:p w:rsidR="008043A2" w:rsidRPr="00266B00" w:rsidRDefault="008043A2" w:rsidP="008043A2">
      <w:pPr>
        <w:ind w:right="668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efter § 7 i lov </w:t>
      </w:r>
      <w:r w:rsidRPr="00266B00">
        <w:rPr>
          <w:rFonts w:asciiTheme="majorHAnsi" w:hAnsiTheme="majorHAnsi"/>
          <w:b/>
          <w:sz w:val="28"/>
          <w:szCs w:val="28"/>
        </w:rPr>
        <w:t>om fo</w:t>
      </w:r>
      <w:r w:rsidRPr="00266B00">
        <w:rPr>
          <w:rFonts w:asciiTheme="majorHAnsi" w:hAnsiTheme="majorHAnsi"/>
          <w:b/>
          <w:spacing w:val="-1"/>
          <w:sz w:val="28"/>
          <w:szCs w:val="28"/>
        </w:rPr>
        <w:t>re</w:t>
      </w:r>
      <w:r w:rsidRPr="00266B00">
        <w:rPr>
          <w:rFonts w:asciiTheme="majorHAnsi" w:hAnsiTheme="majorHAnsi"/>
          <w:b/>
          <w:spacing w:val="5"/>
          <w:sz w:val="28"/>
          <w:szCs w:val="28"/>
        </w:rPr>
        <w:t>b</w:t>
      </w:r>
      <w:r w:rsidRPr="00266B00">
        <w:rPr>
          <w:rFonts w:asciiTheme="majorHAnsi" w:hAnsiTheme="majorHAnsi"/>
          <w:b/>
          <w:spacing w:val="-5"/>
          <w:sz w:val="28"/>
          <w:szCs w:val="28"/>
        </w:rPr>
        <w:t>y</w:t>
      </w:r>
      <w:r w:rsidRPr="00266B00">
        <w:rPr>
          <w:rFonts w:asciiTheme="majorHAnsi" w:hAnsiTheme="majorHAnsi"/>
          <w:b/>
          <w:sz w:val="28"/>
          <w:szCs w:val="28"/>
        </w:rPr>
        <w:t>gg</w:t>
      </w:r>
      <w:r w:rsidRPr="00266B00">
        <w:rPr>
          <w:rFonts w:asciiTheme="majorHAnsi" w:hAnsiTheme="majorHAnsi"/>
          <w:b/>
          <w:spacing w:val="-1"/>
          <w:sz w:val="28"/>
          <w:szCs w:val="28"/>
        </w:rPr>
        <w:t>e</w:t>
      </w:r>
      <w:r w:rsidRPr="00266B00">
        <w:rPr>
          <w:rFonts w:asciiTheme="majorHAnsi" w:hAnsiTheme="majorHAnsi"/>
          <w:b/>
          <w:sz w:val="28"/>
          <w:szCs w:val="28"/>
        </w:rPr>
        <w:t>n</w:t>
      </w:r>
      <w:r w:rsidRPr="00266B00">
        <w:rPr>
          <w:rFonts w:asciiTheme="majorHAnsi" w:hAnsiTheme="majorHAnsi"/>
          <w:b/>
          <w:spacing w:val="2"/>
          <w:sz w:val="28"/>
          <w:szCs w:val="28"/>
        </w:rPr>
        <w:t>d</w:t>
      </w:r>
      <w:r w:rsidRPr="00266B00">
        <w:rPr>
          <w:rFonts w:asciiTheme="majorHAnsi" w:hAnsiTheme="majorHAnsi"/>
          <w:b/>
          <w:sz w:val="28"/>
          <w:szCs w:val="28"/>
        </w:rPr>
        <w:t>e</w:t>
      </w:r>
      <w:r w:rsidRPr="00266B00">
        <w:rPr>
          <w:rFonts w:asciiTheme="majorHAnsi" w:hAnsiTheme="majorHAnsi"/>
          <w:b/>
          <w:spacing w:val="-1"/>
          <w:sz w:val="28"/>
          <w:szCs w:val="28"/>
        </w:rPr>
        <w:t xml:space="preserve"> f</w:t>
      </w:r>
      <w:r w:rsidRPr="00266B00">
        <w:rPr>
          <w:rFonts w:asciiTheme="majorHAnsi" w:hAnsiTheme="majorHAnsi"/>
          <w:b/>
          <w:sz w:val="28"/>
          <w:szCs w:val="28"/>
        </w:rPr>
        <w:t>o</w:t>
      </w:r>
      <w:r w:rsidRPr="00266B00">
        <w:rPr>
          <w:rFonts w:asciiTheme="majorHAnsi" w:hAnsiTheme="majorHAnsi"/>
          <w:b/>
          <w:spacing w:val="1"/>
          <w:sz w:val="28"/>
          <w:szCs w:val="28"/>
        </w:rPr>
        <w:t>r</w:t>
      </w:r>
      <w:r w:rsidRPr="00266B00">
        <w:rPr>
          <w:rFonts w:asciiTheme="majorHAnsi" w:hAnsiTheme="majorHAnsi"/>
          <w:b/>
          <w:spacing w:val="-1"/>
          <w:sz w:val="28"/>
          <w:szCs w:val="28"/>
        </w:rPr>
        <w:t>a</w:t>
      </w:r>
      <w:r w:rsidRPr="00266B00">
        <w:rPr>
          <w:rFonts w:asciiTheme="majorHAnsi" w:hAnsiTheme="majorHAnsi"/>
          <w:b/>
          <w:sz w:val="28"/>
          <w:szCs w:val="28"/>
        </w:rPr>
        <w:t>nstaltnin</w:t>
      </w:r>
      <w:r w:rsidRPr="00266B00">
        <w:rPr>
          <w:rFonts w:asciiTheme="majorHAnsi" w:hAnsiTheme="majorHAnsi"/>
          <w:b/>
          <w:spacing w:val="-2"/>
          <w:sz w:val="28"/>
          <w:szCs w:val="28"/>
        </w:rPr>
        <w:t>g</w:t>
      </w:r>
      <w:r w:rsidRPr="00266B00">
        <w:rPr>
          <w:rFonts w:asciiTheme="majorHAnsi" w:hAnsiTheme="majorHAnsi"/>
          <w:b/>
          <w:spacing w:val="-1"/>
          <w:sz w:val="28"/>
          <w:szCs w:val="28"/>
        </w:rPr>
        <w:t>e</w:t>
      </w:r>
      <w:r w:rsidRPr="00266B00">
        <w:rPr>
          <w:rFonts w:asciiTheme="majorHAnsi" w:hAnsiTheme="majorHAnsi"/>
          <w:b/>
          <w:sz w:val="28"/>
          <w:szCs w:val="28"/>
        </w:rPr>
        <w:t>r mod hvidvask</w:t>
      </w:r>
      <w:r w:rsidRPr="00266B00">
        <w:rPr>
          <w:rFonts w:asciiTheme="majorHAnsi" w:hAnsiTheme="majorHAnsi"/>
          <w:b/>
          <w:spacing w:val="2"/>
          <w:sz w:val="28"/>
          <w:szCs w:val="28"/>
        </w:rPr>
        <w:t xml:space="preserve"> </w:t>
      </w:r>
      <w:r w:rsidRPr="00266B00">
        <w:rPr>
          <w:rFonts w:asciiTheme="majorHAnsi" w:hAnsiTheme="majorHAnsi"/>
          <w:b/>
          <w:spacing w:val="1"/>
          <w:sz w:val="28"/>
          <w:szCs w:val="28"/>
        </w:rPr>
        <w:t>a</w:t>
      </w:r>
      <w:r w:rsidRPr="00266B00">
        <w:rPr>
          <w:rFonts w:asciiTheme="majorHAnsi" w:hAnsiTheme="majorHAnsi"/>
          <w:b/>
          <w:sz w:val="28"/>
          <w:szCs w:val="28"/>
        </w:rPr>
        <w:t>f ud</w:t>
      </w:r>
      <w:r w:rsidRPr="00266B00">
        <w:rPr>
          <w:rFonts w:asciiTheme="majorHAnsi" w:hAnsiTheme="majorHAnsi"/>
          <w:b/>
          <w:spacing w:val="1"/>
          <w:sz w:val="28"/>
          <w:szCs w:val="28"/>
        </w:rPr>
        <w:t>b</w:t>
      </w:r>
      <w:r w:rsidRPr="00266B00">
        <w:rPr>
          <w:rFonts w:asciiTheme="majorHAnsi" w:hAnsiTheme="majorHAnsi"/>
          <w:b/>
          <w:spacing w:val="-5"/>
          <w:sz w:val="28"/>
          <w:szCs w:val="28"/>
        </w:rPr>
        <w:t>y</w:t>
      </w:r>
      <w:r w:rsidRPr="00266B00">
        <w:rPr>
          <w:rFonts w:asciiTheme="majorHAnsi" w:hAnsiTheme="majorHAnsi"/>
          <w:b/>
          <w:sz w:val="28"/>
          <w:szCs w:val="28"/>
        </w:rPr>
        <w:t>t</w:t>
      </w:r>
      <w:r w:rsidRPr="00266B00">
        <w:rPr>
          <w:rFonts w:asciiTheme="majorHAnsi" w:hAnsiTheme="majorHAnsi"/>
          <w:b/>
          <w:spacing w:val="1"/>
          <w:sz w:val="28"/>
          <w:szCs w:val="28"/>
        </w:rPr>
        <w:t>t</w:t>
      </w:r>
      <w:r w:rsidRPr="00266B00">
        <w:rPr>
          <w:rFonts w:asciiTheme="majorHAnsi" w:hAnsiTheme="majorHAnsi"/>
          <w:b/>
          <w:sz w:val="28"/>
          <w:szCs w:val="28"/>
        </w:rPr>
        <w:t>e</w:t>
      </w:r>
      <w:r w:rsidRPr="00266B00">
        <w:rPr>
          <w:rFonts w:asciiTheme="majorHAnsi" w:hAnsiTheme="majorHAnsi"/>
          <w:b/>
          <w:spacing w:val="-1"/>
          <w:sz w:val="28"/>
          <w:szCs w:val="28"/>
        </w:rPr>
        <w:t xml:space="preserve"> </w:t>
      </w:r>
      <w:r w:rsidRPr="00266B00">
        <w:rPr>
          <w:rFonts w:asciiTheme="majorHAnsi" w:hAnsiTheme="majorHAnsi"/>
          <w:b/>
          <w:spacing w:val="2"/>
          <w:sz w:val="28"/>
          <w:szCs w:val="28"/>
        </w:rPr>
        <w:t>o</w:t>
      </w:r>
      <w:r w:rsidRPr="00266B00">
        <w:rPr>
          <w:rFonts w:asciiTheme="majorHAnsi" w:hAnsiTheme="majorHAnsi"/>
          <w:b/>
          <w:sz w:val="28"/>
          <w:szCs w:val="28"/>
        </w:rPr>
        <w:t>g fin</w:t>
      </w:r>
      <w:r w:rsidRPr="00266B00">
        <w:rPr>
          <w:rFonts w:asciiTheme="majorHAnsi" w:hAnsiTheme="majorHAnsi"/>
          <w:b/>
          <w:spacing w:val="-1"/>
          <w:sz w:val="28"/>
          <w:szCs w:val="28"/>
        </w:rPr>
        <w:t>a</w:t>
      </w:r>
      <w:r w:rsidRPr="00266B00">
        <w:rPr>
          <w:rFonts w:asciiTheme="majorHAnsi" w:hAnsiTheme="majorHAnsi"/>
          <w:b/>
          <w:sz w:val="28"/>
          <w:szCs w:val="28"/>
        </w:rPr>
        <w:t>nsie</w:t>
      </w:r>
      <w:r w:rsidRPr="00266B00">
        <w:rPr>
          <w:rFonts w:asciiTheme="majorHAnsi" w:hAnsiTheme="majorHAnsi"/>
          <w:b/>
          <w:spacing w:val="-1"/>
          <w:sz w:val="28"/>
          <w:szCs w:val="28"/>
        </w:rPr>
        <w:t>r</w:t>
      </w:r>
      <w:r w:rsidRPr="00266B00">
        <w:rPr>
          <w:rFonts w:asciiTheme="majorHAnsi" w:hAnsiTheme="majorHAnsi"/>
          <w:b/>
          <w:sz w:val="28"/>
          <w:szCs w:val="28"/>
        </w:rPr>
        <w:t>i</w:t>
      </w:r>
      <w:r w:rsidRPr="00266B00">
        <w:rPr>
          <w:rFonts w:asciiTheme="majorHAnsi" w:hAnsiTheme="majorHAnsi"/>
          <w:b/>
          <w:spacing w:val="3"/>
          <w:sz w:val="28"/>
          <w:szCs w:val="28"/>
        </w:rPr>
        <w:t>n</w:t>
      </w:r>
      <w:r w:rsidRPr="00266B00">
        <w:rPr>
          <w:rFonts w:asciiTheme="majorHAnsi" w:hAnsiTheme="majorHAnsi"/>
          <w:b/>
          <w:sz w:val="28"/>
          <w:szCs w:val="28"/>
        </w:rPr>
        <w:t xml:space="preserve">g </w:t>
      </w:r>
      <w:r w:rsidRPr="00266B00">
        <w:rPr>
          <w:rFonts w:asciiTheme="majorHAnsi" w:hAnsiTheme="majorHAnsi"/>
          <w:b/>
          <w:spacing w:val="-1"/>
          <w:sz w:val="28"/>
          <w:szCs w:val="28"/>
        </w:rPr>
        <w:t>a</w:t>
      </w:r>
      <w:r w:rsidRPr="00266B00">
        <w:rPr>
          <w:rFonts w:asciiTheme="majorHAnsi" w:hAnsiTheme="majorHAnsi"/>
          <w:b/>
          <w:sz w:val="28"/>
          <w:szCs w:val="28"/>
        </w:rPr>
        <w:t>f t</w:t>
      </w:r>
      <w:r w:rsidRPr="00266B00">
        <w:rPr>
          <w:rFonts w:asciiTheme="majorHAnsi" w:hAnsiTheme="majorHAnsi"/>
          <w:b/>
          <w:spacing w:val="-1"/>
          <w:sz w:val="28"/>
          <w:szCs w:val="28"/>
        </w:rPr>
        <w:t>e</w:t>
      </w:r>
      <w:r w:rsidRPr="00266B00">
        <w:rPr>
          <w:rFonts w:asciiTheme="majorHAnsi" w:hAnsiTheme="majorHAnsi"/>
          <w:b/>
          <w:sz w:val="28"/>
          <w:szCs w:val="28"/>
        </w:rPr>
        <w:t>r</w:t>
      </w:r>
      <w:r w:rsidRPr="00266B00">
        <w:rPr>
          <w:rFonts w:asciiTheme="majorHAnsi" w:hAnsiTheme="majorHAnsi"/>
          <w:b/>
          <w:spacing w:val="-1"/>
          <w:sz w:val="28"/>
          <w:szCs w:val="28"/>
        </w:rPr>
        <w:t>r</w:t>
      </w:r>
      <w:r w:rsidRPr="00266B00">
        <w:rPr>
          <w:rFonts w:asciiTheme="majorHAnsi" w:hAnsiTheme="majorHAnsi"/>
          <w:b/>
          <w:spacing w:val="2"/>
          <w:sz w:val="28"/>
          <w:szCs w:val="28"/>
        </w:rPr>
        <w:t>o</w:t>
      </w:r>
      <w:r w:rsidRPr="00266B00">
        <w:rPr>
          <w:rFonts w:asciiTheme="majorHAnsi" w:hAnsiTheme="majorHAnsi"/>
          <w:b/>
          <w:sz w:val="28"/>
          <w:szCs w:val="28"/>
        </w:rPr>
        <w:t>risme</w:t>
      </w:r>
    </w:p>
    <w:p w:rsidR="009D4EB5" w:rsidRDefault="009D4EB5" w:rsidP="009D4EB5">
      <w:pPr>
        <w:autoSpaceDE w:val="0"/>
        <w:autoSpaceDN w:val="0"/>
        <w:adjustRightInd w:val="0"/>
        <w:spacing w:after="0" w:line="240" w:lineRule="auto"/>
        <w:jc w:val="center"/>
      </w:pPr>
    </w:p>
    <w:p w:rsidR="008043A2" w:rsidRDefault="008043A2" w:rsidP="000E1059">
      <w:pPr>
        <w:ind w:right="668"/>
        <w:jc w:val="both"/>
      </w:pPr>
      <w:r w:rsidRPr="007709B5">
        <w:rPr>
          <w:spacing w:val="1"/>
          <w:highlight w:val="yellow"/>
        </w:rPr>
        <w:t>[</w:t>
      </w:r>
      <w:r w:rsidRPr="007709B5">
        <w:rPr>
          <w:highlight w:val="yellow"/>
        </w:rPr>
        <w:t>End</w:t>
      </w:r>
      <w:r w:rsidRPr="007709B5">
        <w:rPr>
          <w:spacing w:val="-1"/>
          <w:highlight w:val="yellow"/>
        </w:rPr>
        <w:t>e</w:t>
      </w:r>
      <w:r w:rsidRPr="007709B5">
        <w:rPr>
          <w:highlight w:val="yellow"/>
        </w:rPr>
        <w:t>l</w:t>
      </w:r>
      <w:r w:rsidRPr="007709B5">
        <w:rPr>
          <w:spacing w:val="1"/>
          <w:highlight w:val="yellow"/>
        </w:rPr>
        <w:t>i</w:t>
      </w:r>
      <w:r w:rsidRPr="007709B5">
        <w:rPr>
          <w:spacing w:val="-2"/>
          <w:highlight w:val="yellow"/>
        </w:rPr>
        <w:t>g</w:t>
      </w:r>
      <w:r w:rsidRPr="007709B5">
        <w:rPr>
          <w:highlight w:val="yellow"/>
        </w:rPr>
        <w:t xml:space="preserve">e </w:t>
      </w:r>
      <w:r w:rsidR="000E1059" w:rsidRPr="007709B5">
        <w:rPr>
          <w:highlight w:val="yellow"/>
        </w:rPr>
        <w:t>risikovurdering</w:t>
      </w:r>
      <w:r w:rsidRPr="007709B5">
        <w:rPr>
          <w:highlight w:val="yellow"/>
        </w:rPr>
        <w:t xml:space="preserve"> bør</w:t>
      </w:r>
      <w:r w:rsidRPr="007709B5">
        <w:rPr>
          <w:spacing w:val="-1"/>
          <w:highlight w:val="yellow"/>
        </w:rPr>
        <w:t xml:space="preserve"> </w:t>
      </w:r>
      <w:r w:rsidRPr="007709B5">
        <w:rPr>
          <w:highlight w:val="yellow"/>
        </w:rPr>
        <w:t>u</w:t>
      </w:r>
      <w:r w:rsidRPr="007709B5">
        <w:rPr>
          <w:spacing w:val="2"/>
          <w:highlight w:val="yellow"/>
        </w:rPr>
        <w:t>d</w:t>
      </w:r>
      <w:r w:rsidRPr="007709B5">
        <w:rPr>
          <w:spacing w:val="-1"/>
          <w:highlight w:val="yellow"/>
        </w:rPr>
        <w:t>a</w:t>
      </w:r>
      <w:r w:rsidRPr="007709B5">
        <w:rPr>
          <w:spacing w:val="1"/>
          <w:highlight w:val="yellow"/>
        </w:rPr>
        <w:t>r</w:t>
      </w:r>
      <w:r w:rsidRPr="007709B5">
        <w:rPr>
          <w:highlight w:val="yellow"/>
        </w:rPr>
        <w:t>b</w:t>
      </w:r>
      <w:r w:rsidRPr="007709B5">
        <w:rPr>
          <w:spacing w:val="-1"/>
          <w:highlight w:val="yellow"/>
        </w:rPr>
        <w:t>e</w:t>
      </w:r>
      <w:r w:rsidRPr="007709B5">
        <w:rPr>
          <w:highlight w:val="yellow"/>
        </w:rPr>
        <w:t>jdes konk</w:t>
      </w:r>
      <w:r w:rsidRPr="007709B5">
        <w:rPr>
          <w:spacing w:val="-1"/>
          <w:highlight w:val="yellow"/>
        </w:rPr>
        <w:t>re</w:t>
      </w:r>
      <w:r w:rsidRPr="007709B5">
        <w:rPr>
          <w:highlight w:val="yellow"/>
        </w:rPr>
        <w:t xml:space="preserve">t </w:t>
      </w:r>
      <w:r w:rsidRPr="007709B5">
        <w:rPr>
          <w:spacing w:val="3"/>
          <w:highlight w:val="yellow"/>
        </w:rPr>
        <w:t>o</w:t>
      </w:r>
      <w:r w:rsidRPr="007709B5">
        <w:rPr>
          <w:highlight w:val="yellow"/>
        </w:rPr>
        <w:t>g</w:t>
      </w:r>
      <w:r w:rsidRPr="007709B5">
        <w:rPr>
          <w:spacing w:val="-2"/>
          <w:highlight w:val="yellow"/>
        </w:rPr>
        <w:t xml:space="preserve"> </w:t>
      </w:r>
      <w:r w:rsidRPr="007709B5">
        <w:rPr>
          <w:highlight w:val="yellow"/>
        </w:rPr>
        <w:t>ind</w:t>
      </w:r>
      <w:r w:rsidRPr="007709B5">
        <w:rPr>
          <w:spacing w:val="1"/>
          <w:highlight w:val="yellow"/>
        </w:rPr>
        <w:t>i</w:t>
      </w:r>
      <w:r w:rsidRPr="007709B5">
        <w:rPr>
          <w:highlight w:val="yellow"/>
        </w:rPr>
        <w:t>viduelt ud f</w:t>
      </w:r>
      <w:r w:rsidRPr="007709B5">
        <w:rPr>
          <w:spacing w:val="-1"/>
          <w:highlight w:val="yellow"/>
        </w:rPr>
        <w:t>r</w:t>
      </w:r>
      <w:r w:rsidRPr="007709B5">
        <w:rPr>
          <w:highlight w:val="yellow"/>
        </w:rPr>
        <w:t>a</w:t>
      </w:r>
      <w:r w:rsidRPr="007709B5">
        <w:rPr>
          <w:spacing w:val="-1"/>
          <w:highlight w:val="yellow"/>
        </w:rPr>
        <w:t xml:space="preserve"> </w:t>
      </w:r>
      <w:r w:rsidRPr="007709B5">
        <w:rPr>
          <w:highlight w:val="yellow"/>
        </w:rPr>
        <w:t>d</w:t>
      </w:r>
      <w:r w:rsidRPr="007709B5">
        <w:rPr>
          <w:spacing w:val="-1"/>
          <w:highlight w:val="yellow"/>
        </w:rPr>
        <w:t>e</w:t>
      </w:r>
      <w:r w:rsidRPr="007709B5">
        <w:rPr>
          <w:highlight w:val="yellow"/>
        </w:rPr>
        <w:t>n</w:t>
      </w:r>
      <w:r w:rsidRPr="007709B5">
        <w:rPr>
          <w:spacing w:val="2"/>
          <w:highlight w:val="yellow"/>
        </w:rPr>
        <w:t xml:space="preserve"> </w:t>
      </w:r>
      <w:r w:rsidRPr="007709B5">
        <w:rPr>
          <w:spacing w:val="-1"/>
          <w:highlight w:val="yellow"/>
        </w:rPr>
        <w:t>e</w:t>
      </w:r>
      <w:r w:rsidRPr="007709B5">
        <w:rPr>
          <w:highlight w:val="yellow"/>
        </w:rPr>
        <w:t>nk</w:t>
      </w:r>
      <w:r w:rsidRPr="007709B5">
        <w:rPr>
          <w:spacing w:val="-1"/>
          <w:highlight w:val="yellow"/>
        </w:rPr>
        <w:t>e</w:t>
      </w:r>
      <w:r w:rsidRPr="007709B5">
        <w:rPr>
          <w:highlight w:val="yellow"/>
        </w:rPr>
        <w:t>l</w:t>
      </w:r>
      <w:r w:rsidRPr="007709B5">
        <w:rPr>
          <w:spacing w:val="1"/>
          <w:highlight w:val="yellow"/>
        </w:rPr>
        <w:t>t</w:t>
      </w:r>
      <w:r w:rsidRPr="007709B5">
        <w:rPr>
          <w:highlight w:val="yellow"/>
        </w:rPr>
        <w:t xml:space="preserve">e </w:t>
      </w:r>
      <w:r w:rsidRPr="007709B5">
        <w:rPr>
          <w:spacing w:val="-1"/>
          <w:highlight w:val="yellow"/>
        </w:rPr>
        <w:t>a</w:t>
      </w:r>
      <w:r w:rsidRPr="007709B5">
        <w:rPr>
          <w:highlight w:val="yellow"/>
        </w:rPr>
        <w:t>dvok</w:t>
      </w:r>
      <w:r w:rsidRPr="007709B5">
        <w:rPr>
          <w:spacing w:val="-1"/>
          <w:highlight w:val="yellow"/>
        </w:rPr>
        <w:t>a</w:t>
      </w:r>
      <w:r w:rsidRPr="007709B5">
        <w:rPr>
          <w:highlight w:val="yellow"/>
        </w:rPr>
        <w:t>ts</w:t>
      </w:r>
      <w:r w:rsidRPr="007709B5">
        <w:rPr>
          <w:spacing w:val="1"/>
          <w:highlight w:val="yellow"/>
        </w:rPr>
        <w:t>/</w:t>
      </w:r>
      <w:r w:rsidRPr="007709B5">
        <w:rPr>
          <w:spacing w:val="-1"/>
          <w:highlight w:val="yellow"/>
        </w:rPr>
        <w:t>a</w:t>
      </w:r>
      <w:r w:rsidRPr="007709B5">
        <w:rPr>
          <w:highlight w:val="yellow"/>
        </w:rPr>
        <w:t>dvok</w:t>
      </w:r>
      <w:r w:rsidRPr="007709B5">
        <w:rPr>
          <w:spacing w:val="-1"/>
          <w:highlight w:val="yellow"/>
        </w:rPr>
        <w:t>a</w:t>
      </w:r>
      <w:r w:rsidRPr="007709B5">
        <w:rPr>
          <w:highlight w:val="yellow"/>
        </w:rPr>
        <w:t>tv</w:t>
      </w:r>
      <w:r w:rsidRPr="007709B5">
        <w:rPr>
          <w:spacing w:val="1"/>
          <w:highlight w:val="yellow"/>
        </w:rPr>
        <w:t>i</w:t>
      </w:r>
      <w:r w:rsidRPr="007709B5">
        <w:rPr>
          <w:highlight w:val="yellow"/>
        </w:rPr>
        <w:t>rks</w:t>
      </w:r>
      <w:r w:rsidRPr="007709B5">
        <w:rPr>
          <w:spacing w:val="2"/>
          <w:highlight w:val="yellow"/>
        </w:rPr>
        <w:t>o</w:t>
      </w:r>
      <w:r w:rsidRPr="007709B5">
        <w:rPr>
          <w:highlight w:val="yellow"/>
        </w:rPr>
        <w:t>mheds b</w:t>
      </w:r>
      <w:r w:rsidRPr="007709B5">
        <w:rPr>
          <w:spacing w:val="-1"/>
          <w:highlight w:val="yellow"/>
        </w:rPr>
        <w:t>e</w:t>
      </w:r>
      <w:r w:rsidRPr="007709B5">
        <w:rPr>
          <w:highlight w:val="yellow"/>
        </w:rPr>
        <w:t>hov].</w:t>
      </w:r>
    </w:p>
    <w:p w:rsidR="00FB0697" w:rsidRDefault="008212AC" w:rsidP="000E105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Formålet med risikovurderingen </w:t>
      </w:r>
      <w:r w:rsidR="009C2B0E">
        <w:t>er</w:t>
      </w:r>
      <w:r w:rsidR="007709B5">
        <w:t xml:space="preserve"> at identificere og vurdere </w:t>
      </w:r>
      <w:r w:rsidR="007709B5" w:rsidRPr="006834C2">
        <w:rPr>
          <w:highlight w:val="yellow"/>
        </w:rPr>
        <w:t>Advokatvirksomhed XX’</w:t>
      </w:r>
      <w:r>
        <w:t xml:space="preserve"> risiko for at blive misbrugt til hvidvask e</w:t>
      </w:r>
      <w:r w:rsidR="00AC18C2">
        <w:t xml:space="preserve">ller finansiering af terrorisme </w:t>
      </w:r>
      <w:r w:rsidR="00166D1C">
        <w:t>med henblik på at demonstrere forståelse for</w:t>
      </w:r>
      <w:r w:rsidR="00DE127C">
        <w:t xml:space="preserve"> hvor </w:t>
      </w:r>
      <w:r w:rsidR="00AC18C2">
        <w:t>og i hvilket omfang virksomheden er udsat for at blive misbrugt til hvidvask eller finansiering af terrorisme.</w:t>
      </w:r>
    </w:p>
    <w:p w:rsidR="00FB0697" w:rsidRDefault="00FB0697" w:rsidP="000E1059">
      <w:pPr>
        <w:autoSpaceDE w:val="0"/>
        <w:autoSpaceDN w:val="0"/>
        <w:adjustRightInd w:val="0"/>
        <w:spacing w:after="0" w:line="240" w:lineRule="auto"/>
        <w:jc w:val="both"/>
      </w:pPr>
    </w:p>
    <w:p w:rsidR="008212AC" w:rsidRDefault="00FB0697" w:rsidP="000E1059">
      <w:pPr>
        <w:autoSpaceDE w:val="0"/>
        <w:autoSpaceDN w:val="0"/>
        <w:adjustRightInd w:val="0"/>
        <w:spacing w:after="0" w:line="240" w:lineRule="auto"/>
        <w:jc w:val="both"/>
      </w:pPr>
      <w:r>
        <w:t>Risikovurderingen skal foretages med udgan</w:t>
      </w:r>
      <w:r w:rsidR="007709B5">
        <w:t xml:space="preserve">gspunkt i </w:t>
      </w:r>
      <w:r w:rsidR="007709B5" w:rsidRPr="006834C2">
        <w:rPr>
          <w:highlight w:val="yellow"/>
        </w:rPr>
        <w:t>Advokatvirksomhed XX’</w:t>
      </w:r>
      <w:r>
        <w:t xml:space="preserve"> forretningsmodel og omfatte risikofaktorer som er forbundet med klienter, produkter, tran</w:t>
      </w:r>
      <w:r w:rsidR="00DE127C">
        <w:t>s</w:t>
      </w:r>
      <w:r>
        <w:t>aktioner og geografiske områder.</w:t>
      </w:r>
    </w:p>
    <w:p w:rsidR="00FB0697" w:rsidRDefault="00FB0697" w:rsidP="000E1059">
      <w:pPr>
        <w:autoSpaceDE w:val="0"/>
        <w:autoSpaceDN w:val="0"/>
        <w:adjustRightInd w:val="0"/>
        <w:spacing w:after="0" w:line="240" w:lineRule="auto"/>
        <w:jc w:val="both"/>
      </w:pPr>
    </w:p>
    <w:p w:rsidR="00AD3B05" w:rsidRPr="009434B2" w:rsidRDefault="00FB0697" w:rsidP="000E105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434B2">
        <w:rPr>
          <w:b/>
          <w:highlight w:val="yellow"/>
        </w:rPr>
        <w:t>Advokatv</w:t>
      </w:r>
      <w:r w:rsidR="007709B5" w:rsidRPr="009434B2">
        <w:rPr>
          <w:b/>
          <w:highlight w:val="yellow"/>
        </w:rPr>
        <w:t>irksomhed XX’</w:t>
      </w:r>
      <w:r w:rsidR="00AD3B05" w:rsidRPr="009434B2">
        <w:rPr>
          <w:b/>
        </w:rPr>
        <w:t xml:space="preserve"> forretningsmodel</w:t>
      </w:r>
    </w:p>
    <w:p w:rsidR="00FB0697" w:rsidRDefault="00FB0697" w:rsidP="000E1059">
      <w:pPr>
        <w:autoSpaceDE w:val="0"/>
        <w:autoSpaceDN w:val="0"/>
        <w:adjustRightInd w:val="0"/>
        <w:spacing w:after="0" w:line="240" w:lineRule="auto"/>
        <w:jc w:val="both"/>
      </w:pPr>
      <w:r w:rsidRPr="007709B5">
        <w:rPr>
          <w:highlight w:val="yellow"/>
        </w:rPr>
        <w:t>[Beskriv forretningsmodel]</w:t>
      </w:r>
    </w:p>
    <w:p w:rsidR="008212AC" w:rsidRDefault="008212AC" w:rsidP="000E1059">
      <w:pPr>
        <w:autoSpaceDE w:val="0"/>
        <w:autoSpaceDN w:val="0"/>
        <w:adjustRightInd w:val="0"/>
        <w:spacing w:after="0" w:line="240" w:lineRule="auto"/>
        <w:jc w:val="both"/>
      </w:pPr>
    </w:p>
    <w:p w:rsidR="00AD3B05" w:rsidRPr="00B52589" w:rsidRDefault="00AD3B05" w:rsidP="000E105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B52589">
        <w:rPr>
          <w:b/>
          <w:highlight w:val="yellow"/>
        </w:rPr>
        <w:t>Advokatvirksomheds XX’</w:t>
      </w:r>
      <w:r w:rsidRPr="00B52589">
        <w:rPr>
          <w:b/>
        </w:rPr>
        <w:t xml:space="preserve"> identifikation og vurdering</w:t>
      </w:r>
      <w:r w:rsidR="009434B2">
        <w:rPr>
          <w:b/>
        </w:rPr>
        <w:t xml:space="preserve"> af risici</w:t>
      </w:r>
    </w:p>
    <w:p w:rsidR="008043A2" w:rsidRDefault="008043A2" w:rsidP="000E1059">
      <w:pPr>
        <w:autoSpaceDE w:val="0"/>
        <w:autoSpaceDN w:val="0"/>
        <w:adjustRightInd w:val="0"/>
        <w:spacing w:after="0" w:line="240" w:lineRule="auto"/>
        <w:jc w:val="both"/>
      </w:pPr>
      <w:r w:rsidRPr="006834C2">
        <w:rPr>
          <w:highlight w:val="yellow"/>
        </w:rPr>
        <w:t>Advokatvirksomhed XX</w:t>
      </w:r>
      <w:r>
        <w:t xml:space="preserve"> har med udgangspunkt i Europa-Kommissionens s</w:t>
      </w:r>
      <w:r w:rsidR="00F5496E">
        <w:t>upranationale risikovurdering og</w:t>
      </w:r>
      <w:r>
        <w:t xml:space="preserve"> </w:t>
      </w:r>
      <w:r w:rsidR="0044050F">
        <w:t xml:space="preserve">Hvidvasksekretariatets nationale risikovurdering </w:t>
      </w:r>
      <w:r>
        <w:t>identificeret følgende risikofaktorer for sagsk</w:t>
      </w:r>
      <w:r w:rsidR="000E1059">
        <w:t>ategorier omfattet af § 1, stk. 1, nr. 1</w:t>
      </w:r>
      <w:r w:rsidR="0044050F">
        <w:t>3</w:t>
      </w:r>
      <w:bookmarkStart w:id="0" w:name="_GoBack"/>
      <w:bookmarkEnd w:id="0"/>
      <w:r>
        <w:t xml:space="preserve"> i hvidvaskloven:</w:t>
      </w:r>
    </w:p>
    <w:p w:rsidR="008043A2" w:rsidRDefault="008043A2" w:rsidP="000E1059">
      <w:pPr>
        <w:autoSpaceDE w:val="0"/>
        <w:autoSpaceDN w:val="0"/>
        <w:adjustRightInd w:val="0"/>
        <w:spacing w:after="0" w:line="240" w:lineRule="auto"/>
        <w:jc w:val="both"/>
      </w:pPr>
    </w:p>
    <w:p w:rsidR="008212AC" w:rsidRDefault="008212AC" w:rsidP="000E1059">
      <w:pPr>
        <w:autoSpaceDE w:val="0"/>
        <w:autoSpaceDN w:val="0"/>
        <w:adjustRightInd w:val="0"/>
        <w:spacing w:after="0" w:line="240" w:lineRule="auto"/>
        <w:jc w:val="both"/>
      </w:pPr>
      <w:r w:rsidRPr="007709B5">
        <w:rPr>
          <w:highlight w:val="yellow"/>
        </w:rPr>
        <w:t>[vælg relevante]</w:t>
      </w:r>
    </w:p>
    <w:p w:rsidR="008212AC" w:rsidRDefault="008212AC" w:rsidP="000E1059">
      <w:pPr>
        <w:autoSpaceDE w:val="0"/>
        <w:autoSpaceDN w:val="0"/>
        <w:adjustRightInd w:val="0"/>
        <w:spacing w:after="0" w:line="240" w:lineRule="auto"/>
        <w:jc w:val="both"/>
      </w:pPr>
    </w:p>
    <w:p w:rsidR="008212AC" w:rsidRPr="00A4033E" w:rsidRDefault="008212AC" w:rsidP="000E1059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668"/>
        <w:rPr>
          <w:rFonts w:asciiTheme="minorHAnsi" w:hAnsiTheme="minorHAnsi"/>
          <w:sz w:val="22"/>
        </w:rPr>
      </w:pPr>
      <w:r w:rsidRPr="00A4033E">
        <w:rPr>
          <w:rFonts w:asciiTheme="minorHAnsi" w:hAnsiTheme="minorHAnsi"/>
          <w:sz w:val="22"/>
        </w:rPr>
        <w:t>køb og salg af fast ejendom eller virksomheder,</w:t>
      </w:r>
    </w:p>
    <w:p w:rsidR="008212AC" w:rsidRPr="00973555" w:rsidRDefault="008212AC" w:rsidP="000E1059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668"/>
        <w:rPr>
          <w:rFonts w:asciiTheme="minorHAnsi" w:hAnsiTheme="minorHAnsi"/>
          <w:sz w:val="22"/>
        </w:rPr>
      </w:pPr>
      <w:r w:rsidRPr="00973555">
        <w:rPr>
          <w:rFonts w:asciiTheme="minorHAnsi" w:hAnsiTheme="minorHAnsi"/>
          <w:sz w:val="22"/>
        </w:rPr>
        <w:t>forvaltning af klienters penge, værdipapirer eller andre aktiver,</w:t>
      </w:r>
    </w:p>
    <w:p w:rsidR="008212AC" w:rsidRPr="00973555" w:rsidRDefault="008212AC" w:rsidP="000E1059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668"/>
        <w:rPr>
          <w:rFonts w:asciiTheme="minorHAnsi" w:hAnsiTheme="minorHAnsi"/>
          <w:sz w:val="22"/>
        </w:rPr>
      </w:pPr>
      <w:r w:rsidRPr="00973555">
        <w:rPr>
          <w:rFonts w:asciiTheme="minorHAnsi" w:hAnsiTheme="minorHAnsi"/>
          <w:sz w:val="22"/>
        </w:rPr>
        <w:t>åbning eller forvaltning af bankkonti eller værdipapirdepoter,</w:t>
      </w:r>
    </w:p>
    <w:p w:rsidR="008212AC" w:rsidRPr="00973555" w:rsidRDefault="008212AC" w:rsidP="000E1059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668"/>
        <w:rPr>
          <w:rFonts w:asciiTheme="minorHAnsi" w:hAnsiTheme="minorHAnsi"/>
          <w:sz w:val="22"/>
        </w:rPr>
      </w:pPr>
      <w:r w:rsidRPr="00973555">
        <w:rPr>
          <w:rFonts w:asciiTheme="minorHAnsi" w:hAnsiTheme="minorHAnsi"/>
          <w:sz w:val="22"/>
        </w:rPr>
        <w:t>tilvejebringelse af nødvendig kapital til oprettelse, drift eller ledelse af virksomheder eller</w:t>
      </w:r>
    </w:p>
    <w:p w:rsidR="008212AC" w:rsidRDefault="008212AC" w:rsidP="000E1059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668"/>
        <w:rPr>
          <w:rFonts w:asciiTheme="minorHAnsi" w:hAnsiTheme="minorHAnsi"/>
          <w:sz w:val="22"/>
        </w:rPr>
      </w:pPr>
      <w:r w:rsidRPr="00973555">
        <w:rPr>
          <w:rFonts w:asciiTheme="minorHAnsi" w:hAnsiTheme="minorHAnsi"/>
          <w:sz w:val="22"/>
        </w:rPr>
        <w:t>oprettelse, drift eller ledelse af virksomheder, fonde m.v., eller</w:t>
      </w:r>
    </w:p>
    <w:p w:rsidR="008212AC" w:rsidRPr="00B52589" w:rsidRDefault="008212AC" w:rsidP="000E1059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668"/>
        <w:rPr>
          <w:rFonts w:asciiTheme="minorHAnsi" w:hAnsiTheme="minorHAnsi"/>
          <w:sz w:val="22"/>
        </w:rPr>
      </w:pPr>
      <w:r w:rsidRPr="00B52589">
        <w:rPr>
          <w:rFonts w:asciiTheme="minorHAnsi" w:hAnsiTheme="minorHAnsi"/>
          <w:sz w:val="22"/>
        </w:rPr>
        <w:t>når de på en klients vegne og for dennes regning foretager en finansiel transaktion eller en transaktion vedrørende fast ejendom.</w:t>
      </w:r>
    </w:p>
    <w:p w:rsidR="008212AC" w:rsidRDefault="008212AC" w:rsidP="000E1059">
      <w:pPr>
        <w:autoSpaceDE w:val="0"/>
        <w:autoSpaceDN w:val="0"/>
        <w:adjustRightInd w:val="0"/>
        <w:spacing w:after="0" w:line="240" w:lineRule="auto"/>
        <w:jc w:val="both"/>
      </w:pPr>
    </w:p>
    <w:p w:rsidR="008212AC" w:rsidRDefault="008212AC" w:rsidP="000E1059">
      <w:pPr>
        <w:autoSpaceDE w:val="0"/>
        <w:autoSpaceDN w:val="0"/>
        <w:adjustRightInd w:val="0"/>
        <w:spacing w:after="0" w:line="240" w:lineRule="auto"/>
        <w:ind w:left="1080" w:hanging="1080"/>
        <w:jc w:val="both"/>
      </w:pPr>
      <w:r>
        <w:t>Ad 1)</w:t>
      </w:r>
      <w:r>
        <w:tab/>
        <w:t xml:space="preserve">ved </w:t>
      </w:r>
      <w:r w:rsidR="007709B5" w:rsidRPr="006834C2">
        <w:rPr>
          <w:highlight w:val="yellow"/>
        </w:rPr>
        <w:t>A</w:t>
      </w:r>
      <w:r w:rsidR="00F5496E" w:rsidRPr="006834C2">
        <w:rPr>
          <w:highlight w:val="yellow"/>
        </w:rPr>
        <w:t>dvokatvirksomhed XX’</w:t>
      </w:r>
      <w:r w:rsidR="00F5496E">
        <w:t xml:space="preserve"> behandling af sager om </w:t>
      </w:r>
      <w:r>
        <w:t>k</w:t>
      </w:r>
      <w:r w:rsidR="007709B5">
        <w:t>øb og salg af fast ejendom har A</w:t>
      </w:r>
      <w:r>
        <w:t>dvokatvirksomhe</w:t>
      </w:r>
      <w:r w:rsidR="00F5496E">
        <w:t xml:space="preserve">d XX identificeret og vurderet </w:t>
      </w:r>
      <w:r>
        <w:t xml:space="preserve">følgende risici </w:t>
      </w:r>
      <w:r w:rsidR="00F5496E" w:rsidRPr="007709B5">
        <w:rPr>
          <w:highlight w:val="yellow"/>
        </w:rPr>
        <w:t xml:space="preserve">[indsæt identificerede </w:t>
      </w:r>
      <w:r w:rsidRPr="007709B5">
        <w:rPr>
          <w:highlight w:val="yellow"/>
        </w:rPr>
        <w:t xml:space="preserve">risici samt </w:t>
      </w:r>
      <w:r w:rsidR="00F5496E" w:rsidRPr="007709B5">
        <w:rPr>
          <w:highlight w:val="yellow"/>
        </w:rPr>
        <w:t>en vurdering af disse</w:t>
      </w:r>
      <w:r w:rsidRPr="007709B5">
        <w:rPr>
          <w:highlight w:val="yellow"/>
        </w:rPr>
        <w:t>].</w:t>
      </w:r>
    </w:p>
    <w:p w:rsidR="008212AC" w:rsidRDefault="008212AC" w:rsidP="000E1059">
      <w:pPr>
        <w:autoSpaceDE w:val="0"/>
        <w:autoSpaceDN w:val="0"/>
        <w:adjustRightInd w:val="0"/>
        <w:spacing w:after="0" w:line="240" w:lineRule="auto"/>
        <w:jc w:val="both"/>
      </w:pPr>
    </w:p>
    <w:p w:rsidR="008212AC" w:rsidRDefault="008212AC" w:rsidP="000E1059">
      <w:pPr>
        <w:autoSpaceDE w:val="0"/>
        <w:autoSpaceDN w:val="0"/>
        <w:adjustRightInd w:val="0"/>
        <w:spacing w:after="0" w:line="240" w:lineRule="auto"/>
        <w:ind w:left="1080" w:hanging="1080"/>
        <w:jc w:val="both"/>
      </w:pPr>
      <w:r>
        <w:t>Ad 2)</w:t>
      </w:r>
      <w:r>
        <w:tab/>
        <w:t xml:space="preserve">ved </w:t>
      </w:r>
      <w:r w:rsidR="007709B5" w:rsidRPr="006834C2">
        <w:rPr>
          <w:highlight w:val="yellow"/>
        </w:rPr>
        <w:t>A</w:t>
      </w:r>
      <w:r w:rsidR="00F5496E" w:rsidRPr="006834C2">
        <w:rPr>
          <w:highlight w:val="yellow"/>
        </w:rPr>
        <w:t>dvokatvirksomhed XX’</w:t>
      </w:r>
      <w:r w:rsidR="00F5496E">
        <w:t xml:space="preserve"> behandling af sager om </w:t>
      </w:r>
      <w:r w:rsidRPr="00973555">
        <w:t>forvaltning af klienters penge, værdipapirer eller andre aktiver</w:t>
      </w:r>
      <w:r>
        <w:t xml:space="preserve"> har </w:t>
      </w:r>
      <w:r w:rsidR="006834C2" w:rsidRPr="006834C2">
        <w:rPr>
          <w:highlight w:val="yellow"/>
        </w:rPr>
        <w:t>A</w:t>
      </w:r>
      <w:r w:rsidRPr="006834C2">
        <w:rPr>
          <w:highlight w:val="yellow"/>
        </w:rPr>
        <w:t>dvokatvirksomhed XX</w:t>
      </w:r>
      <w:r>
        <w:t xml:space="preserve"> identificeret og </w:t>
      </w:r>
      <w:r w:rsidR="00F5496E">
        <w:t>vurderet</w:t>
      </w:r>
      <w:r>
        <w:t xml:space="preserve"> følgende risici </w:t>
      </w:r>
      <w:r w:rsidRPr="007709B5">
        <w:rPr>
          <w:highlight w:val="yellow"/>
        </w:rPr>
        <w:t xml:space="preserve">[indsæt identificerede risici samt </w:t>
      </w:r>
      <w:r w:rsidR="00F5496E" w:rsidRPr="007709B5">
        <w:rPr>
          <w:highlight w:val="yellow"/>
        </w:rPr>
        <w:t>en vurdering af disse</w:t>
      </w:r>
      <w:r w:rsidRPr="007709B5">
        <w:rPr>
          <w:highlight w:val="yellow"/>
        </w:rPr>
        <w:t>].</w:t>
      </w:r>
    </w:p>
    <w:p w:rsidR="008212AC" w:rsidRDefault="008212AC" w:rsidP="000E1059">
      <w:pPr>
        <w:autoSpaceDE w:val="0"/>
        <w:autoSpaceDN w:val="0"/>
        <w:adjustRightInd w:val="0"/>
        <w:spacing w:after="0" w:line="240" w:lineRule="auto"/>
        <w:ind w:left="1080" w:hanging="1080"/>
        <w:jc w:val="both"/>
      </w:pPr>
    </w:p>
    <w:p w:rsidR="008212AC" w:rsidRDefault="008212AC" w:rsidP="000E1059">
      <w:pPr>
        <w:autoSpaceDE w:val="0"/>
        <w:autoSpaceDN w:val="0"/>
        <w:adjustRightInd w:val="0"/>
        <w:spacing w:after="0" w:line="240" w:lineRule="auto"/>
        <w:ind w:left="1080" w:hanging="1080"/>
        <w:jc w:val="both"/>
      </w:pPr>
      <w:r>
        <w:t>Ad 3)</w:t>
      </w:r>
      <w:r>
        <w:tab/>
        <w:t>[…]</w:t>
      </w:r>
    </w:p>
    <w:p w:rsidR="008212AC" w:rsidRDefault="008212AC" w:rsidP="000E1059">
      <w:pPr>
        <w:autoSpaceDE w:val="0"/>
        <w:autoSpaceDN w:val="0"/>
        <w:adjustRightInd w:val="0"/>
        <w:spacing w:after="0" w:line="240" w:lineRule="auto"/>
        <w:ind w:left="1080" w:hanging="1080"/>
        <w:jc w:val="both"/>
      </w:pPr>
    </w:p>
    <w:p w:rsidR="00661D7E" w:rsidRPr="00B52589" w:rsidRDefault="00EE63B9" w:rsidP="000E1059">
      <w:pPr>
        <w:autoSpaceDE w:val="0"/>
        <w:autoSpaceDN w:val="0"/>
        <w:adjustRightInd w:val="0"/>
        <w:spacing w:after="0" w:line="240" w:lineRule="auto"/>
        <w:jc w:val="both"/>
        <w:rPr>
          <w:highlight w:val="yellow"/>
        </w:rPr>
      </w:pPr>
      <w:r w:rsidRPr="00B52589">
        <w:rPr>
          <w:highlight w:val="yellow"/>
        </w:rPr>
        <w:t>[</w:t>
      </w:r>
      <w:r w:rsidR="00FB0697" w:rsidRPr="00B52589">
        <w:rPr>
          <w:highlight w:val="yellow"/>
        </w:rPr>
        <w:t xml:space="preserve">Vurderingen af risici </w:t>
      </w:r>
      <w:r w:rsidR="00661D7E" w:rsidRPr="00B52589">
        <w:rPr>
          <w:highlight w:val="yellow"/>
        </w:rPr>
        <w:t xml:space="preserve">kan inddrage </w:t>
      </w:r>
    </w:p>
    <w:p w:rsidR="00661D7E" w:rsidRPr="00B52589" w:rsidRDefault="00661D7E" w:rsidP="000E1059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highlight w:val="yellow"/>
        </w:rPr>
      </w:pPr>
      <w:r w:rsidRPr="00B52589">
        <w:rPr>
          <w:rFonts w:asciiTheme="minorHAnsi" w:hAnsiTheme="minorHAnsi"/>
          <w:sz w:val="22"/>
          <w:highlight w:val="yellow"/>
        </w:rPr>
        <w:t>hvordan klientforholdet opstår og hvordan ydelsen leveres</w:t>
      </w:r>
      <w:r w:rsidR="00FB0697" w:rsidRPr="00B52589">
        <w:rPr>
          <w:rFonts w:asciiTheme="minorHAnsi" w:hAnsiTheme="minorHAnsi"/>
          <w:sz w:val="22"/>
          <w:highlight w:val="yellow"/>
        </w:rPr>
        <w:t>,</w:t>
      </w:r>
      <w:r w:rsidRPr="00B52589">
        <w:rPr>
          <w:rFonts w:asciiTheme="minorHAnsi" w:hAnsiTheme="minorHAnsi"/>
          <w:sz w:val="22"/>
          <w:highlight w:val="yellow"/>
        </w:rPr>
        <w:t xml:space="preserve"> </w:t>
      </w:r>
    </w:p>
    <w:p w:rsidR="00661D7E" w:rsidRPr="00B52589" w:rsidRDefault="00661D7E" w:rsidP="000E1059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highlight w:val="yellow"/>
        </w:rPr>
      </w:pPr>
      <w:r w:rsidRPr="00B52589">
        <w:rPr>
          <w:rFonts w:asciiTheme="minorHAnsi" w:hAnsiTheme="minorHAnsi"/>
          <w:sz w:val="22"/>
          <w:highlight w:val="yellow"/>
        </w:rPr>
        <w:t xml:space="preserve">hvilket produkt </w:t>
      </w:r>
      <w:r w:rsidR="00FB0697" w:rsidRPr="00B52589">
        <w:rPr>
          <w:rFonts w:asciiTheme="minorHAnsi" w:hAnsiTheme="minorHAnsi"/>
          <w:sz w:val="22"/>
          <w:highlight w:val="yellow"/>
        </w:rPr>
        <w:t>der skal leveres og hvortil det</w:t>
      </w:r>
      <w:r w:rsidRPr="00B52589">
        <w:rPr>
          <w:rFonts w:asciiTheme="minorHAnsi" w:hAnsiTheme="minorHAnsi"/>
          <w:sz w:val="22"/>
          <w:highlight w:val="yellow"/>
        </w:rPr>
        <w:t xml:space="preserve"> skal leveres</w:t>
      </w:r>
      <w:r w:rsidR="00FB0697" w:rsidRPr="00B52589">
        <w:rPr>
          <w:rFonts w:asciiTheme="minorHAnsi" w:hAnsiTheme="minorHAnsi"/>
          <w:sz w:val="22"/>
          <w:highlight w:val="yellow"/>
        </w:rPr>
        <w:t>,</w:t>
      </w:r>
    </w:p>
    <w:p w:rsidR="00FB0697" w:rsidRPr="00B52589" w:rsidRDefault="00CF6F00" w:rsidP="000E1059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highlight w:val="yellow"/>
        </w:rPr>
      </w:pPr>
      <w:r w:rsidRPr="00B52589">
        <w:rPr>
          <w:rFonts w:asciiTheme="minorHAnsi" w:hAnsiTheme="minorHAnsi"/>
          <w:sz w:val="22"/>
          <w:highlight w:val="yellow"/>
        </w:rPr>
        <w:lastRenderedPageBreak/>
        <w:t>om der er komplekse forhold,</w:t>
      </w:r>
    </w:p>
    <w:p w:rsidR="00CF6F00" w:rsidRPr="00B52589" w:rsidRDefault="00CF6F00" w:rsidP="000E1059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highlight w:val="yellow"/>
        </w:rPr>
      </w:pPr>
      <w:r w:rsidRPr="00B52589">
        <w:rPr>
          <w:rFonts w:asciiTheme="minorHAnsi" w:hAnsiTheme="minorHAnsi"/>
          <w:sz w:val="22"/>
          <w:highlight w:val="yellow"/>
        </w:rPr>
        <w:t>om ejendom</w:t>
      </w:r>
      <w:r w:rsidR="007709B5" w:rsidRPr="00B52589">
        <w:rPr>
          <w:rFonts w:asciiTheme="minorHAnsi" w:hAnsiTheme="minorHAnsi"/>
          <w:sz w:val="22"/>
          <w:highlight w:val="yellow"/>
        </w:rPr>
        <w:t>mene der handles er dyre luksus</w:t>
      </w:r>
      <w:r w:rsidRPr="00B52589">
        <w:rPr>
          <w:rFonts w:asciiTheme="minorHAnsi" w:hAnsiTheme="minorHAnsi"/>
          <w:sz w:val="22"/>
          <w:highlight w:val="yellow"/>
        </w:rPr>
        <w:t>ejendomme eller almindelige boliger,</w:t>
      </w:r>
    </w:p>
    <w:p w:rsidR="00CF6F00" w:rsidRPr="00B52589" w:rsidRDefault="00CF6F00" w:rsidP="000E1059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highlight w:val="yellow"/>
        </w:rPr>
      </w:pPr>
      <w:r w:rsidRPr="00B52589">
        <w:rPr>
          <w:rFonts w:asciiTheme="minorHAnsi" w:hAnsiTheme="minorHAnsi"/>
          <w:sz w:val="22"/>
          <w:highlight w:val="yellow"/>
        </w:rPr>
        <w:t>om køber/sælger er udlænding eller bor langt fra ejendommens beliggenhed,</w:t>
      </w:r>
    </w:p>
    <w:p w:rsidR="00CF6F00" w:rsidRPr="00B52589" w:rsidRDefault="00CF6F00" w:rsidP="000E1059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highlight w:val="yellow"/>
        </w:rPr>
      </w:pPr>
      <w:r w:rsidRPr="00B52589">
        <w:rPr>
          <w:rFonts w:asciiTheme="minorHAnsi" w:hAnsiTheme="minorHAnsi"/>
          <w:sz w:val="22"/>
          <w:highlight w:val="yellow"/>
        </w:rPr>
        <w:t>om finansieringen passer til købers profil (lav belåning, kort løbetid på lån etc.),</w:t>
      </w:r>
    </w:p>
    <w:p w:rsidR="00CF6F00" w:rsidRPr="00B52589" w:rsidRDefault="00CF6F00" w:rsidP="009A552A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highlight w:val="yellow"/>
        </w:rPr>
      </w:pPr>
      <w:r w:rsidRPr="00B52589">
        <w:rPr>
          <w:rFonts w:asciiTheme="minorHAnsi" w:hAnsiTheme="minorHAnsi"/>
          <w:sz w:val="22"/>
          <w:highlight w:val="yellow"/>
        </w:rPr>
        <w:t xml:space="preserve">den reelle årsag til at beløb indbetalt til advokaten ønskes tilbagebetalt </w:t>
      </w:r>
      <w:r w:rsidR="00B52589" w:rsidRPr="00B52589">
        <w:rPr>
          <w:rFonts w:asciiTheme="minorHAnsi" w:hAnsiTheme="minorHAnsi"/>
          <w:sz w:val="22"/>
          <w:highlight w:val="yellow"/>
        </w:rPr>
        <w:t xml:space="preserve">af </w:t>
      </w:r>
      <w:r w:rsidRPr="00B52589">
        <w:rPr>
          <w:rFonts w:asciiTheme="minorHAnsi" w:hAnsiTheme="minorHAnsi"/>
          <w:sz w:val="22"/>
          <w:highlight w:val="yellow"/>
        </w:rPr>
        <w:t>klienten</w:t>
      </w:r>
      <w:r w:rsidR="00B52589" w:rsidRPr="00B52589">
        <w:rPr>
          <w:rFonts w:asciiTheme="minorHAnsi" w:hAnsiTheme="minorHAnsi"/>
          <w:sz w:val="22"/>
          <w:highlight w:val="yellow"/>
        </w:rPr>
        <w:t>/klienten ændrer opdraget</w:t>
      </w:r>
      <w:r w:rsidRPr="00B52589">
        <w:rPr>
          <w:rFonts w:asciiTheme="minorHAnsi" w:hAnsiTheme="minorHAnsi"/>
          <w:sz w:val="22"/>
          <w:highlight w:val="yellow"/>
        </w:rPr>
        <w:t>,</w:t>
      </w:r>
    </w:p>
    <w:p w:rsidR="00002D36" w:rsidRDefault="009A552A" w:rsidP="009A552A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highlight w:val="yellow"/>
        </w:rPr>
      </w:pPr>
      <w:r w:rsidRPr="00B52589">
        <w:rPr>
          <w:rFonts w:asciiTheme="minorHAnsi" w:hAnsiTheme="minorHAnsi"/>
          <w:sz w:val="22"/>
          <w:highlight w:val="yellow"/>
        </w:rPr>
        <w:t xml:space="preserve">er der led i sagsbehandlingen og transaktionen som kan medføre øget risiko for hvidvask af penge, </w:t>
      </w:r>
      <w:r w:rsidR="00B52589" w:rsidRPr="00B52589">
        <w:rPr>
          <w:rFonts w:asciiTheme="minorHAnsi" w:hAnsiTheme="minorHAnsi"/>
          <w:sz w:val="22"/>
          <w:highlight w:val="yellow"/>
        </w:rPr>
        <w:t>(</w:t>
      </w:r>
      <w:r w:rsidRPr="00B52589">
        <w:rPr>
          <w:rFonts w:asciiTheme="minorHAnsi" w:hAnsiTheme="minorHAnsi"/>
          <w:sz w:val="22"/>
          <w:highlight w:val="yellow"/>
        </w:rPr>
        <w:t>f.eks. ønskes beløb deponeret hos advokaten returneret til tredjemand, skal betaling for en ydelse sendes til tredjemand frem for sælger etc.)</w:t>
      </w:r>
    </w:p>
    <w:p w:rsidR="00CF6F00" w:rsidRPr="00B52589" w:rsidRDefault="00002D36" w:rsidP="009A552A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highlight w:val="yellow"/>
        </w:rPr>
      </w:pPr>
      <w:r>
        <w:rPr>
          <w:rFonts w:asciiTheme="minorHAnsi" w:hAnsiTheme="minorHAnsi"/>
          <w:sz w:val="22"/>
          <w:highlight w:val="yellow"/>
        </w:rPr>
        <w:t>hvor høj risiko for hvidvask og finansiering af terrorisme vurderes de enkelte områder at udgøre.</w:t>
      </w:r>
      <w:r w:rsidR="009A552A" w:rsidRPr="00B52589">
        <w:rPr>
          <w:rFonts w:asciiTheme="minorHAnsi" w:hAnsiTheme="minorHAnsi"/>
          <w:sz w:val="22"/>
          <w:highlight w:val="yellow"/>
        </w:rPr>
        <w:t>.</w:t>
      </w:r>
    </w:p>
    <w:p w:rsidR="00661D7E" w:rsidRPr="00661D7E" w:rsidRDefault="00661D7E" w:rsidP="000E1059">
      <w:pPr>
        <w:autoSpaceDE w:val="0"/>
        <w:autoSpaceDN w:val="0"/>
        <w:adjustRightInd w:val="0"/>
        <w:spacing w:after="0" w:line="240" w:lineRule="auto"/>
        <w:jc w:val="both"/>
      </w:pPr>
    </w:p>
    <w:p w:rsidR="008043A2" w:rsidRDefault="00661D7E" w:rsidP="000E1059">
      <w:pPr>
        <w:autoSpaceDE w:val="0"/>
        <w:autoSpaceDN w:val="0"/>
        <w:adjustRightInd w:val="0"/>
        <w:spacing w:after="0" w:line="240" w:lineRule="auto"/>
        <w:jc w:val="both"/>
      </w:pPr>
      <w:r w:rsidRPr="00B52589">
        <w:rPr>
          <w:highlight w:val="yellow"/>
        </w:rPr>
        <w:t xml:space="preserve">Se yderligere i Finanstilsynets vejledning om risikovurdering og risikostyring. </w:t>
      </w:r>
      <w:r w:rsidR="00EE63B9" w:rsidRPr="00B52589">
        <w:rPr>
          <w:highlight w:val="yellow"/>
        </w:rPr>
        <w:t xml:space="preserve">Der kan ved vurderingen </w:t>
      </w:r>
      <w:r w:rsidR="00FE7BF7" w:rsidRPr="00B52589">
        <w:rPr>
          <w:highlight w:val="yellow"/>
        </w:rPr>
        <w:t>af risici hentes inspiration i H</w:t>
      </w:r>
      <w:r w:rsidR="00EE63B9" w:rsidRPr="00B52589">
        <w:rPr>
          <w:highlight w:val="yellow"/>
        </w:rPr>
        <w:t xml:space="preserve">vidvasklovens bilag 2 og 3. </w:t>
      </w:r>
      <w:r w:rsidRPr="00B52589">
        <w:rPr>
          <w:highlight w:val="yellow"/>
        </w:rPr>
        <w:t>D</w:t>
      </w:r>
      <w:r w:rsidR="00EE63B9" w:rsidRPr="00B52589">
        <w:rPr>
          <w:highlight w:val="yellow"/>
        </w:rPr>
        <w:t xml:space="preserve">et skal dog bemærkes, at bilagene vedrører gennemførelse af kundekendskabsprocedurer, hvorfor de </w:t>
      </w:r>
      <w:r w:rsidR="00002D36">
        <w:rPr>
          <w:highlight w:val="yellow"/>
        </w:rPr>
        <w:t>skal anvendes</w:t>
      </w:r>
      <w:r w:rsidR="00EE63B9" w:rsidRPr="00B52589">
        <w:rPr>
          <w:highlight w:val="yellow"/>
        </w:rPr>
        <w:t xml:space="preserve"> til inspiration.]</w:t>
      </w:r>
    </w:p>
    <w:p w:rsidR="00002D36" w:rsidRDefault="00002D36" w:rsidP="000E1059">
      <w:pPr>
        <w:autoSpaceDE w:val="0"/>
        <w:autoSpaceDN w:val="0"/>
        <w:adjustRightInd w:val="0"/>
        <w:spacing w:after="0" w:line="240" w:lineRule="auto"/>
        <w:jc w:val="both"/>
      </w:pPr>
    </w:p>
    <w:p w:rsidR="00AD3B05" w:rsidRDefault="00FE7BF7" w:rsidP="000E1059">
      <w:pPr>
        <w:autoSpaceDE w:val="0"/>
        <w:autoSpaceDN w:val="0"/>
        <w:adjustRightInd w:val="0"/>
        <w:spacing w:after="0" w:line="240" w:lineRule="auto"/>
        <w:jc w:val="both"/>
      </w:pPr>
      <w:r w:rsidRPr="006834C2">
        <w:rPr>
          <w:highlight w:val="yellow"/>
        </w:rPr>
        <w:t>Advokatvirksomhed XX</w:t>
      </w:r>
      <w:r w:rsidR="00AD3B05">
        <w:t xml:space="preserve"> har på baggrund af </w:t>
      </w:r>
      <w:r w:rsidR="00AC18C2">
        <w:t xml:space="preserve">den iboende risiko i </w:t>
      </w:r>
      <w:r w:rsidR="00AD3B05">
        <w:t>virksomhedens forretningsmodel, og uden at inddrage risikobegrænsend</w:t>
      </w:r>
      <w:r w:rsidR="00815587">
        <w:t>e faktorer som f.eks. forretningsgange</w:t>
      </w:r>
      <w:r w:rsidR="00AD3B05">
        <w:t xml:space="preserve"> og politikker </w:t>
      </w:r>
      <w:r w:rsidR="00460120">
        <w:t xml:space="preserve">identificeret og </w:t>
      </w:r>
      <w:r w:rsidR="00AD3B05">
        <w:t>vurderet</w:t>
      </w:r>
      <w:r w:rsidR="00DE127C">
        <w:t xml:space="preserve"> </w:t>
      </w:r>
      <w:r w:rsidR="00B52589">
        <w:t>de</w:t>
      </w:r>
      <w:r w:rsidR="00460120">
        <w:t xml:space="preserve"> </w:t>
      </w:r>
      <w:r w:rsidR="007B131A">
        <w:t xml:space="preserve">ovennævnte </w:t>
      </w:r>
      <w:r w:rsidR="00460120">
        <w:t xml:space="preserve">risici ved virksomhedens behandling af sager </w:t>
      </w:r>
      <w:r w:rsidR="007B131A">
        <w:t xml:space="preserve">omfattet af hvidvaskloven. </w:t>
      </w:r>
    </w:p>
    <w:p w:rsidR="00AC18C2" w:rsidRDefault="00AC18C2" w:rsidP="000E1059">
      <w:pPr>
        <w:autoSpaceDE w:val="0"/>
        <w:autoSpaceDN w:val="0"/>
        <w:adjustRightInd w:val="0"/>
        <w:spacing w:after="0" w:line="240" w:lineRule="auto"/>
        <w:jc w:val="both"/>
      </w:pPr>
    </w:p>
    <w:p w:rsidR="007A0B82" w:rsidRDefault="00AC18C2" w:rsidP="000E1059">
      <w:pPr>
        <w:autoSpaceDE w:val="0"/>
        <w:autoSpaceDN w:val="0"/>
        <w:adjustRightInd w:val="0"/>
        <w:spacing w:after="0" w:line="240" w:lineRule="auto"/>
        <w:jc w:val="both"/>
      </w:pPr>
      <w:r>
        <w:t>Denne risikovurdering skal løbende opdateres, hvilket betyder, at den skal opdateres ved væsentlige ændringer i risikoforholdene</w:t>
      </w:r>
      <w:r w:rsidR="007A0B82">
        <w:t>, herunder ved ændringer af forretningsmodellen som f.eks. ændringer i sammensætning af klienter og produkter.</w:t>
      </w:r>
      <w:r>
        <w:t xml:space="preserve"> </w:t>
      </w:r>
      <w:r w:rsidR="007A0B82">
        <w:t xml:space="preserve">Risikovurderingen opdateres mindst </w:t>
      </w:r>
      <w:r>
        <w:t>en gang om året.</w:t>
      </w:r>
    </w:p>
    <w:sectPr w:rsidR="007A0B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15F7D"/>
    <w:multiLevelType w:val="multilevel"/>
    <w:tmpl w:val="FF62D614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versk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versk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versk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Oversk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versk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versk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Oversk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Oversk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28C146B"/>
    <w:multiLevelType w:val="hybridMultilevel"/>
    <w:tmpl w:val="1220D2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556AC"/>
    <w:multiLevelType w:val="hybridMultilevel"/>
    <w:tmpl w:val="AEF225E4"/>
    <w:lvl w:ilvl="0" w:tplc="FFD41D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41DA8"/>
    <w:multiLevelType w:val="hybridMultilevel"/>
    <w:tmpl w:val="C89C8B18"/>
    <w:lvl w:ilvl="0" w:tplc="8B7A486A">
      <w:start w:val="1"/>
      <w:numFmt w:val="decimal"/>
      <w:lvlText w:val="%1)"/>
      <w:lvlJc w:val="right"/>
      <w:pPr>
        <w:ind w:left="1080" w:hanging="360"/>
      </w:pPr>
      <w:rPr>
        <w:rFonts w:asciiTheme="minorHAnsi" w:eastAsiaTheme="minorHAnsi" w:hAnsiTheme="minorHAnsi" w:cstheme="minorBidi"/>
      </w:rPr>
    </w:lvl>
    <w:lvl w:ilvl="1" w:tplc="6BE0D4B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1598D862">
      <w:start w:val="8"/>
      <w:numFmt w:val="bullet"/>
      <w:lvlText w:val="•"/>
      <w:lvlJc w:val="left"/>
      <w:pPr>
        <w:ind w:left="3615" w:hanging="1275"/>
      </w:pPr>
      <w:rPr>
        <w:rFonts w:ascii="Calibri" w:eastAsia="Times New Roman" w:hAnsi="Calibri" w:cs="Times New Roman" w:hint="default"/>
      </w:r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9A8"/>
    <w:rsid w:val="00002D36"/>
    <w:rsid w:val="000E1059"/>
    <w:rsid w:val="00166D1C"/>
    <w:rsid w:val="001F1F87"/>
    <w:rsid w:val="002D5491"/>
    <w:rsid w:val="002F360F"/>
    <w:rsid w:val="00342D7E"/>
    <w:rsid w:val="003C1EE2"/>
    <w:rsid w:val="0044050F"/>
    <w:rsid w:val="00460120"/>
    <w:rsid w:val="004E3160"/>
    <w:rsid w:val="005745F0"/>
    <w:rsid w:val="005839E0"/>
    <w:rsid w:val="00661D7E"/>
    <w:rsid w:val="006834C2"/>
    <w:rsid w:val="006A5A02"/>
    <w:rsid w:val="007136CA"/>
    <w:rsid w:val="007709B5"/>
    <w:rsid w:val="007755CB"/>
    <w:rsid w:val="007A0B82"/>
    <w:rsid w:val="007A6536"/>
    <w:rsid w:val="007A789B"/>
    <w:rsid w:val="007B131A"/>
    <w:rsid w:val="007B252D"/>
    <w:rsid w:val="008043A2"/>
    <w:rsid w:val="00815587"/>
    <w:rsid w:val="008212AC"/>
    <w:rsid w:val="00865F51"/>
    <w:rsid w:val="008A76C1"/>
    <w:rsid w:val="009434B2"/>
    <w:rsid w:val="009A552A"/>
    <w:rsid w:val="009C2B0E"/>
    <w:rsid w:val="009D4EB5"/>
    <w:rsid w:val="00AA6CDC"/>
    <w:rsid w:val="00AC18C2"/>
    <w:rsid w:val="00AD3B05"/>
    <w:rsid w:val="00B371F2"/>
    <w:rsid w:val="00B52589"/>
    <w:rsid w:val="00BA093A"/>
    <w:rsid w:val="00BC39A8"/>
    <w:rsid w:val="00C44E06"/>
    <w:rsid w:val="00CF6F00"/>
    <w:rsid w:val="00D721B8"/>
    <w:rsid w:val="00DE127C"/>
    <w:rsid w:val="00EE63B9"/>
    <w:rsid w:val="00F23A95"/>
    <w:rsid w:val="00F5496E"/>
    <w:rsid w:val="00FB0697"/>
    <w:rsid w:val="00F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08EE"/>
  <w15:docId w15:val="{3CDEF524-C19E-4CA4-8A37-64ADD05A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043A2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043A2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043A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043A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043A2"/>
    <w:pPr>
      <w:numPr>
        <w:ilvl w:val="4"/>
        <w:numId w:val="2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Overskrift6">
    <w:name w:val="heading 6"/>
    <w:basedOn w:val="Normal"/>
    <w:next w:val="Normal"/>
    <w:link w:val="Overskrift6Tegn"/>
    <w:qFormat/>
    <w:rsid w:val="008043A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043A2"/>
    <w:pPr>
      <w:numPr>
        <w:ilvl w:val="6"/>
        <w:numId w:val="2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043A2"/>
    <w:pPr>
      <w:numPr>
        <w:ilvl w:val="7"/>
        <w:numId w:val="2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043A2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A789B"/>
    <w:pPr>
      <w:spacing w:after="0" w:line="280" w:lineRule="exact"/>
      <w:ind w:left="720"/>
      <w:contextualSpacing/>
      <w:jc w:val="both"/>
    </w:pPr>
    <w:rPr>
      <w:rFonts w:ascii="Arial" w:hAnsi="Arial"/>
      <w:sz w:val="21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043A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043A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043A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043A2"/>
    <w:rPr>
      <w:rFonts w:eastAsiaTheme="minorEastAsia"/>
      <w:b/>
      <w:bCs/>
      <w:sz w:val="28"/>
      <w:szCs w:val="28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043A2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Overskrift6Tegn">
    <w:name w:val="Overskrift 6 Tegn"/>
    <w:basedOn w:val="Standardskrifttypeiafsnit"/>
    <w:link w:val="Overskrift6"/>
    <w:rsid w:val="008043A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043A2"/>
    <w:rPr>
      <w:rFonts w:eastAsiaTheme="minorEastAsia"/>
      <w:sz w:val="24"/>
      <w:szCs w:val="24"/>
      <w:lang w:val="en-US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043A2"/>
    <w:rPr>
      <w:rFonts w:eastAsiaTheme="minorEastAsia"/>
      <w:i/>
      <w:iCs/>
      <w:sz w:val="24"/>
      <w:szCs w:val="24"/>
      <w:lang w:val="en-US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043A2"/>
    <w:rPr>
      <w:rFonts w:asciiTheme="majorHAnsi" w:eastAsiaTheme="majorEastAsia" w:hAnsiTheme="majorHAnsi" w:cstheme="majorBidi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44E0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44E0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44E0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44E0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44E06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4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44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7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Bruselius Beck</dc:creator>
  <cp:lastModifiedBy>Nanna Schaufuss</cp:lastModifiedBy>
  <cp:revision>3</cp:revision>
  <dcterms:created xsi:type="dcterms:W3CDTF">2021-07-06T12:34:00Z</dcterms:created>
  <dcterms:modified xsi:type="dcterms:W3CDTF">2022-11-28T09:07:00Z</dcterms:modified>
</cp:coreProperties>
</file>